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pPr>
        <w:jc w:val="right"/>
        <w:ind w:firstLine="570"/>
        <w:spacing w:after="0" w:lineRule="auto" w:line="240"/>
        <w:tabs>
          <w:tab w:val="left" w:pos="420"/>
          <w:tab w:val="left" w:pos="9645"/>
        </w:tabs>
      </w:pPr>
      <w:r>
        <w:rPr>
          <w:rFonts w:ascii="Times New Roman" w:hAnsi="Times New Roman" w:cs="Times New Roman" w:eastAsia="Times New Roman"/>
          <w:u w:val="single"/>
          <w:sz w:val="20"/>
          <w:color w:val="000000"/>
        </w:rPr>
        <w:t/>
      </w:r>
    </w:p>
    <w:p>
      <w:pPr>
        <w:jc w:val="right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sz w:val="20"/>
          <w:color w:val="000000"/>
        </w:rPr>
        <w:t>УТВЕРЖДЕН</w:t>
      </w:r>
    </w:p>
    <w:p>
      <w:pPr>
        <w:jc w:val="right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sz w:val="20"/>
          <w:color w:val="000000"/>
        </w:rPr>
        <w:t>приказом ФНС России</w:t>
      </w:r>
    </w:p>
    <w:p>
      <w:pPr>
        <w:jc w:val="right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sz w:val="20"/>
          <w:color w:val="000000"/>
        </w:rPr>
        <w:t>от 06.03.2019 N ММВ-7-3/120@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КНД 1111076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center"/>
        <w:keepLines/>
        <w:ind w:firstLine="570"/>
        <w:spacing w:after="0" w:lineRule="auto" w:line="240"/>
        <w:tabs>
          <w:tab w:val="left" w:pos="6660"/>
          <w:tab w:val="left" w:pos="7935"/>
        </w:tabs>
      </w:pPr>
      <w:r>
        <w:rPr>
          <w:rFonts w:ascii="Times New Roman" w:hAnsi="Times New Roman" w:cs="Times New Roman" w:eastAsia="Times New Roman"/>
          <w:b/>
          <w:sz w:val="28"/>
          <w:color w:val="000000"/>
        </w:rPr>
        <w:t xml:space="preserve">ДОГОВОР ПОРУЧИТЕЛЬСТВА N </w:t>
      </w:r>
      <w:r>
        <w:rPr>
          <w:rFonts w:ascii="Times New Roman" w:hAnsi="Times New Roman" w:cs="Times New Roman" w:eastAsia="Times New Roman"/>
          <w:b/>
          <w:u w:val="single"/>
          <w:sz w:val="28"/>
          <w:color w:val="000000"/>
        </w:rPr>
        <w:tab/>
      </w:r>
      <w:r>
        <w:rPr>
          <w:rFonts w:ascii="Times New Roman" w:hAnsi="Times New Roman" w:cs="Times New Roman" w:eastAsia="Times New Roman"/>
          <w:b/>
          <w:u w:val="single"/>
          <w:sz w:val="28"/>
          <w:color w:val="000000"/>
        </w:rPr>
        <w:tab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tbl>
      <w:tblPr>
        <w:tblW w:w="10230" w:type="dxa"/>
        <w:tblLayout w:type="fixed"/>
        <w:tblCellMar>
          <w:top w:w="0" w:type="dxa"/>
          <w:left w:w="105" w:type="dxa"/>
          <w:bottom w:w="0" w:type="dxa"/>
          <w:right w:w="105" w:type="dxa"/>
        </w:tblCellMar>
      </w:tblPr>
      <w:tblGrid>
        <w:gridCol w:w="4095"/>
        <w:gridCol w:w="1275"/>
        <w:gridCol w:w="285"/>
        <w:gridCol w:w="570"/>
        <w:gridCol w:w="285"/>
        <w:gridCol w:w="1680"/>
        <w:gridCol w:w="570"/>
        <w:gridCol w:w="570"/>
        <w:gridCol w:w="840"/>
      </w:tblGrid>
      <w:tr>
        <w:tc>
          <w:tcPr>
            <w:tcW w:w="4095" w:type="dxa"/>
          </w:tcPr>
          <w:p>
            <w:pPr>
              <w:jc w:val="center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1275" w:type="dxa"/>
          </w:tcPr>
          <w:p>
            <w:pPr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vertAlign w:val="superscript"/>
                <w:color w:val="000000"/>
              </w:rPr>
              <w:t>1</w:t>
            </w:r>
          </w:p>
        </w:tc>
        <w:tc>
          <w:tcPr>
            <w:tcW w:w="285" w:type="dxa"/>
          </w:tcPr>
          <w:p>
            <w:pPr>
              <w:jc w:val="center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"</w:t>
            </w:r>
          </w:p>
        </w:tc>
        <w:tc>
          <w:tcPr>
            <w:tcW w:w="570" w:type="dxa"/>
          </w:tcPr>
          <w:p>
            <w:pPr>
              <w:jc w:val="both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85" w:type="dxa"/>
          </w:tcPr>
          <w:p>
            <w:pPr>
              <w:jc w:val="center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"</w:t>
            </w:r>
          </w:p>
        </w:tc>
        <w:tc>
          <w:tcPr>
            <w:tcW w:w="1680" w:type="dxa"/>
          </w:tcPr>
          <w:p>
            <w:pPr>
              <w:jc w:val="both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570" w:type="dxa"/>
          </w:tcPr>
          <w:p>
            <w:pPr>
              <w:jc w:val="center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20</w:t>
            </w:r>
          </w:p>
        </w:tc>
        <w:tc>
          <w:tcPr>
            <w:tcW w:w="570" w:type="dxa"/>
          </w:tcPr>
          <w:p>
            <w:pPr>
              <w:jc w:val="both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840" w:type="dxa"/>
          </w:tcPr>
          <w:p>
            <w:pPr>
              <w:jc w:val="center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года</w:t>
            </w:r>
            <w:r>
              <w:rPr>
                <w:rFonts w:ascii="Times New Roman" w:hAnsi="Times New Roman" w:cs="Times New Roman" w:eastAsia="Times New Roman"/>
                <w:vertAlign w:val="superscript"/>
                <w:color w:val="000000"/>
              </w:rPr>
              <w:t>2</w:t>
            </w:r>
          </w:p>
        </w:tc>
      </w:tr>
    </w:tbl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  <w:tabs>
          <w:tab w:val="left" w:pos="570"/>
          <w:tab w:val="left" w:pos="4680"/>
        </w:tabs>
      </w:pP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color w:val="000000"/>
        </w:rPr>
        <w:t>, в дальнейшем именуемый "Налоговый орган", в лице</w:t>
      </w:r>
    </w:p>
    <w:p>
      <w:pPr>
        <w:jc w:val="both"/>
        <w:spacing w:after="0" w:lineRule="auto" w:line="240"/>
        <w:tabs>
          <w:tab w:val="left" w:pos="3975"/>
          <w:tab w:val="left" w:pos="8790"/>
        </w:tabs>
      </w:pPr>
      <w:r>
        <w:rPr>
          <w:rFonts w:ascii="Times New Roman" w:hAnsi="Times New Roman" w:cs="Times New Roman" w:eastAsia="Times New Roman"/>
          <w:color w:val="000000"/>
        </w:rPr>
        <w:t xml:space="preserve">руководителя (заместителя руководителя)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vertAlign w:val="superscript"/>
          <w:color w:val="000000"/>
        </w:rPr>
        <w:t>3</w:t>
      </w:r>
      <w:r>
        <w:rPr>
          <w:rFonts w:ascii="Times New Roman" w:hAnsi="Times New Roman" w:cs="Times New Roman" w:eastAsia="Times New Roman"/>
          <w:color w:val="000000"/>
        </w:rPr>
        <w:t xml:space="preserve"> с одной </w:t>
      </w:r>
    </w:p>
    <w:p>
      <w:pPr>
        <w:jc w:val="both"/>
        <w:spacing w:after="0" w:lineRule="auto" w:line="240"/>
        <w:tabs>
          <w:tab w:val="left" w:pos="1275"/>
          <w:tab w:val="left" w:pos="6090"/>
        </w:tabs>
      </w:pPr>
      <w:r>
        <w:rPr>
          <w:rFonts w:ascii="Times New Roman" w:hAnsi="Times New Roman" w:cs="Times New Roman" w:eastAsia="Times New Roman"/>
          <w:color w:val="000000"/>
        </w:rPr>
        <w:t xml:space="preserve">стороны, и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color w:val="000000"/>
        </w:rPr>
        <w:t>, в дальнейшем именуемое "Поручитель",</w:t>
      </w:r>
    </w:p>
    <w:p>
      <w:pPr>
        <w:jc w:val="both"/>
        <w:spacing w:after="0" w:lineRule="auto" w:line="240"/>
        <w:tabs>
          <w:tab w:val="left" w:pos="855"/>
          <w:tab w:val="left" w:pos="10065"/>
        </w:tabs>
      </w:pPr>
      <w:r>
        <w:rPr>
          <w:rFonts w:ascii="Times New Roman" w:hAnsi="Times New Roman" w:cs="Times New Roman" w:eastAsia="Times New Roman"/>
          <w:color w:val="000000"/>
        </w:rPr>
        <w:t xml:space="preserve">в лице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color w:val="000000"/>
        </w:rPr>
        <w:t>,</w:t>
      </w:r>
    </w:p>
    <w:p>
      <w:pPr>
        <w:jc w:val="both"/>
        <w:spacing w:after="0" w:lineRule="auto" w:line="240"/>
        <w:tabs>
          <w:tab w:val="left" w:pos="2970"/>
          <w:tab w:val="left" w:pos="10065"/>
        </w:tabs>
      </w:pPr>
      <w:r>
        <w:rPr>
          <w:rFonts w:ascii="Times New Roman" w:hAnsi="Times New Roman" w:cs="Times New Roman" w:eastAsia="Times New Roman"/>
          <w:color w:val="000000"/>
        </w:rPr>
        <w:t xml:space="preserve">действующего на основании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color w:val="000000"/>
        </w:rPr>
        <w:t>,</w:t>
      </w:r>
    </w:p>
    <w:p>
      <w:pPr>
        <w:jc w:val="both"/>
        <w:spacing w:after="0" w:lineRule="auto" w:line="240"/>
        <w:tabs>
          <w:tab w:val="left" w:pos="3975"/>
          <w:tab w:val="left" w:pos="8085"/>
        </w:tabs>
      </w:pPr>
      <w:r>
        <w:rPr>
          <w:rFonts w:ascii="Times New Roman" w:hAnsi="Times New Roman" w:cs="Times New Roman" w:eastAsia="Times New Roman"/>
          <w:color w:val="000000"/>
        </w:rPr>
        <w:t>с другой стороны, вместе именуемые "Стороны", заключили настоящий договор поручительства (далее - "Договор") о нижеследующем: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center"/>
        <w:keepLines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1. Предмет договора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  <w:tabs>
          <w:tab w:val="left" w:pos="6810"/>
          <w:tab w:val="left" w:pos="10065"/>
        </w:tabs>
      </w:pPr>
      <w:r>
        <w:rPr>
          <w:rFonts w:ascii="Times New Roman" w:hAnsi="Times New Roman" w:cs="Times New Roman" w:eastAsia="Times New Roman"/>
          <w:color w:val="000000"/>
        </w:rPr>
        <w:t xml:space="preserve">1.1. По настоящему Договору Поручитель обязуется на основании требования об уплате денежной суммы, направленного Налоговым органом в соответствии с Налоговым кодексом Российской Федерации (далее - Налоговый кодекс), исполнить в полном объеме обязанность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jc w:val="both"/>
        <w:spacing w:after="0" w:lineRule="auto" w:line="240"/>
        <w:tabs>
          <w:tab w:val="left" w:pos="570"/>
          <w:tab w:val="left" w:pos="10065"/>
        </w:tabs>
      </w:pP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vertAlign w:val="superscript"/>
          <w:color w:val="000000"/>
        </w:rPr>
        <w:t>4</w:t>
      </w:r>
      <w:r>
        <w:rPr>
          <w:rFonts w:ascii="Times New Roman" w:hAnsi="Times New Roman" w:cs="Times New Roman" w:eastAsia="Times New Roman"/>
          <w:color w:val="000000"/>
        </w:rPr>
        <w:t>,</w:t>
      </w:r>
    </w:p>
    <w:p>
      <w:pPr>
        <w:jc w:val="both"/>
        <w:spacing w:after="0" w:lineRule="auto" w:line="240"/>
        <w:tabs>
          <w:tab w:val="left" w:pos="6240"/>
          <w:tab w:val="left" w:pos="10065"/>
        </w:tabs>
      </w:pPr>
      <w:r>
        <w:rPr>
          <w:rFonts w:ascii="Times New Roman" w:hAnsi="Times New Roman" w:cs="Times New Roman" w:eastAsia="Times New Roman"/>
          <w:color w:val="000000"/>
        </w:rPr>
        <w:t>именуемого в дальнейшем "Плательщик", по возврату (уплате)</w:t>
      </w:r>
      <w:r>
        <w:rPr>
          <w:rFonts w:ascii="Times New Roman" w:hAnsi="Times New Roman" w:cs="Times New Roman" w:eastAsia="Times New Roman"/>
          <w:vertAlign w:val="superscript"/>
          <w:color w:val="000000"/>
        </w:rPr>
        <w:t>5</w:t>
      </w:r>
      <w:r>
        <w:rPr>
          <w:rFonts w:ascii="Times New Roman" w:hAnsi="Times New Roman" w:cs="Times New Roman" w:eastAsia="Times New Roman"/>
          <w:color w:val="000000"/>
        </w:rPr>
        <w:t>:</w:t>
      </w:r>
    </w:p>
    <w:p>
      <w:pPr>
        <w:jc w:val="both"/>
        <w:ind w:firstLine="570"/>
        <w:spacing w:after="0" w:lineRule="auto" w:line="240"/>
        <w:tabs>
          <w:tab w:val="left" w:pos="2265"/>
          <w:tab w:val="left" w:pos="4395"/>
        </w:tabs>
      </w:pPr>
      <w:r>
        <w:rPr>
          <w:rFonts w:ascii="Times New Roman" w:hAnsi="Times New Roman" w:cs="Times New Roman" w:eastAsia="Times New Roman"/>
          <w:color w:val="000000"/>
        </w:rPr>
        <w:t xml:space="preserve">суммы налога на добавленную стоимость, излишне полученной Плательщиком (зачтенной Плательщику) в результате возмещения налога в заявительном порядке, предусмотренном статьей 176.1 Налогового кодекса, если решение о возмещении суммы налога, заявленной к возмещению в заявительном порядке, будет отменено полностью или частично в случаях, предусмотренных статьей 176.1 Налогового кодекса, в размере до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color w:val="000000"/>
        </w:rPr>
        <w:t xml:space="preserve"> рублей</w:t>
      </w:r>
      <w:r>
        <w:rPr>
          <w:rFonts w:ascii="Times New Roman" w:hAnsi="Times New Roman" w:cs="Times New Roman" w:eastAsia="Times New Roman"/>
          <w:vertAlign w:val="superscript"/>
          <w:color w:val="000000"/>
        </w:rPr>
        <w:t>6</w:t>
      </w:r>
      <w:r>
        <w:rPr>
          <w:rFonts w:ascii="Times New Roman" w:hAnsi="Times New Roman" w:cs="Times New Roman" w:eastAsia="Times New Roman"/>
          <w:color w:val="000000"/>
        </w:rPr>
        <w:t>;</w:t>
      </w:r>
    </w:p>
    <w:p>
      <w:pPr>
        <w:jc w:val="both"/>
        <w:ind w:firstLine="570"/>
        <w:spacing w:after="0" w:lineRule="auto" w:line="240"/>
        <w:tabs>
          <w:tab w:val="left" w:pos="4395"/>
          <w:tab w:val="left" w:pos="7935"/>
        </w:tabs>
      </w:pPr>
      <w:r>
        <w:rPr>
          <w:rFonts w:ascii="Times New Roman" w:hAnsi="Times New Roman" w:cs="Times New Roman" w:eastAsia="Times New Roman"/>
          <w:color w:val="000000"/>
        </w:rPr>
        <w:t xml:space="preserve">суммы акциза, в случае непредставления Плательщиком документов в порядке и сроки, которые установлены пунктами 7, 7.1 и 7.2 статьи 198 Налогового кодекса, и неуплаты Плательщиком соответствующей суммы акциза, в размере до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color w:val="000000"/>
        </w:rPr>
        <w:t xml:space="preserve"> рублей</w:t>
      </w:r>
      <w:r>
        <w:rPr>
          <w:rFonts w:ascii="Times New Roman" w:hAnsi="Times New Roman" w:cs="Times New Roman" w:eastAsia="Times New Roman"/>
          <w:vertAlign w:val="superscript"/>
          <w:color w:val="000000"/>
        </w:rPr>
        <w:t>7</w:t>
      </w:r>
      <w:r>
        <w:rPr>
          <w:rFonts w:ascii="Times New Roman" w:hAnsi="Times New Roman" w:cs="Times New Roman" w:eastAsia="Times New Roman"/>
          <w:color w:val="000000"/>
        </w:rPr>
        <w:t>;</w:t>
      </w:r>
    </w:p>
    <w:p>
      <w:pPr>
        <w:jc w:val="both"/>
        <w:ind w:firstLine="570"/>
        <w:spacing w:after="0" w:lineRule="auto" w:line="240"/>
        <w:tabs>
          <w:tab w:val="left" w:pos="1425"/>
          <w:tab w:val="left" w:pos="3540"/>
          <w:tab w:val="left" w:pos="6240"/>
          <w:tab w:val="left" w:pos="10065"/>
        </w:tabs>
      </w:pPr>
      <w:r>
        <w:rPr>
          <w:rFonts w:ascii="Times New Roman" w:hAnsi="Times New Roman" w:cs="Times New Roman" w:eastAsia="Times New Roman"/>
          <w:color w:val="000000"/>
        </w:rPr>
        <w:t xml:space="preserve">суммы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color w:val="000000"/>
        </w:rPr>
        <w:t xml:space="preserve"> налога и (или) сбора (указать наименование налога, сбора), страховых взносов, пени и (или) штрафа, в отношении которой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tbl>
      <w:tblPr>
        <w:tblW w:w="10470" w:type="dxa"/>
        <w:tblLayout w:type="fixed"/>
        <w:tblCellMar>
          <w:top w:w="0" w:type="dxa"/>
          <w:left w:w="105" w:type="dxa"/>
          <w:bottom w:w="0" w:type="dxa"/>
          <w:right w:w="105" w:type="dxa"/>
        </w:tblCellMar>
        <w:tblInd w:w="-105" w:type="dxa"/>
      </w:tblPr>
      <w:tblGrid>
        <w:gridCol w:w="5475"/>
        <w:gridCol w:w="420"/>
        <w:gridCol w:w="285"/>
        <w:gridCol w:w="1140"/>
        <w:gridCol w:w="570"/>
        <w:gridCol w:w="705"/>
        <w:gridCol w:w="855"/>
        <w:gridCol w:w="960"/>
      </w:tblGrid>
      <w:tr>
        <w:tc>
          <w:tcPr>
            <w:tcW w:w="5475" w:type="dxa"/>
          </w:tcPr>
          <w:p>
            <w:pPr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(указать уполномоченный орган) принято решение от "</w:t>
            </w:r>
          </w:p>
        </w:tc>
        <w:tc>
          <w:tcPr>
            <w:tcW w:w="420" w:type="dxa"/>
          </w:tcPr>
          <w:p>
            <w:pPr>
              <w:jc w:val="both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85" w:type="dxa"/>
          </w:tcPr>
          <w:p>
            <w:pPr>
              <w:jc w:val="center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"</w:t>
            </w:r>
          </w:p>
        </w:tc>
        <w:tc>
          <w:tcPr>
            <w:tcW w:w="1140" w:type="dxa"/>
          </w:tcPr>
          <w:p>
            <w:pPr>
              <w:jc w:val="both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570" w:type="dxa"/>
          </w:tcPr>
          <w:p>
            <w:pPr>
              <w:jc w:val="center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20</w:t>
            </w:r>
          </w:p>
        </w:tc>
        <w:tc>
          <w:tcPr>
            <w:tcW w:w="705" w:type="dxa"/>
          </w:tcPr>
          <w:p>
            <w:pPr>
              <w:jc w:val="both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855" w:type="dxa"/>
          </w:tcPr>
          <w:p>
            <w:pPr>
              <w:jc w:val="center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года N</w:t>
            </w:r>
          </w:p>
        </w:tc>
        <w:tc>
          <w:tcPr>
            <w:tcW w:w="960" w:type="dxa"/>
          </w:tcPr>
          <w:p>
            <w:pPr>
              <w:jc w:val="center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</w:tbl>
    <w:p>
      <w:pPr>
        <w:jc w:val="both"/>
        <w:spacing w:after="0" w:lineRule="auto" w:line="240"/>
        <w:tabs>
          <w:tab w:val="left" w:pos="1425"/>
          <w:tab w:val="left" w:pos="3540"/>
        </w:tabs>
      </w:pPr>
      <w:r>
        <w:rPr>
          <w:rFonts w:ascii="Times New Roman" w:hAnsi="Times New Roman" w:cs="Times New Roman" w:eastAsia="Times New Roman"/>
          <w:color w:val="000000"/>
        </w:rPr>
        <w:t>о предоставлении отсрочки, рассрочки, инвестиционного налогового кредита, а также начисленных на сумму задолженности процентов в соответствии с Налоговым кодексом;</w:t>
      </w:r>
    </w:p>
    <w:p>
      <w:pPr>
        <w:jc w:val="both"/>
        <w:ind w:firstLine="570"/>
        <w:spacing w:after="0" w:lineRule="auto" w:line="240"/>
        <w:tabs>
          <w:tab w:val="left" w:pos="1275"/>
          <w:tab w:val="left" w:pos="5955"/>
        </w:tabs>
      </w:pPr>
      <w:r>
        <w:rPr>
          <w:rFonts w:ascii="Times New Roman" w:hAnsi="Times New Roman" w:cs="Times New Roman" w:eastAsia="Times New Roman"/>
          <w:color w:val="000000"/>
        </w:rPr>
        <w:t xml:space="preserve">суммы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color w:val="000000"/>
        </w:rPr>
        <w:t xml:space="preserve"> налога и (или) сбора (указать наименование налога, сбора), страховых взносов, пени и (или) штрафа, если Плательщик не уплатит в установленный срок причитающиеся суммы налога, сбора, страховых взносов и соответствующих пеней, указанных в решении Налогового органа о привлечении к ответственности за совершение налогового правонарушения или решении об отказе в привлечении к ответственности за совершение налогового правонарушения </w:t>
      </w:r>
    </w:p>
    <w:tbl>
      <w:tblPr>
        <w:tblW w:w="10425" w:type="dxa"/>
        <w:tblLayout w:type="fixed"/>
        <w:tblCellMar>
          <w:top w:w="0" w:type="dxa"/>
          <w:left w:w="105" w:type="dxa"/>
          <w:bottom w:w="0" w:type="dxa"/>
          <w:right w:w="105" w:type="dxa"/>
        </w:tblCellMar>
        <w:tblInd w:w="-105" w:type="dxa"/>
      </w:tblPr>
      <w:tblGrid>
        <w:gridCol w:w="4125"/>
        <w:gridCol w:w="570"/>
        <w:gridCol w:w="705"/>
        <w:gridCol w:w="285"/>
        <w:gridCol w:w="1125"/>
        <w:gridCol w:w="570"/>
        <w:gridCol w:w="705"/>
        <w:gridCol w:w="855"/>
        <w:gridCol w:w="720"/>
        <w:gridCol w:w="705"/>
      </w:tblGrid>
      <w:tr>
        <w:tc>
          <w:tcPr>
            <w:tcW w:w="4125" w:type="dxa"/>
          </w:tcPr>
          <w:p>
            <w:pPr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570" w:type="dxa"/>
          </w:tcPr>
          <w:p>
            <w:pPr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от "</w:t>
            </w:r>
          </w:p>
        </w:tc>
        <w:tc>
          <w:tcPr>
            <w:tcW w:w="705" w:type="dxa"/>
          </w:tcPr>
          <w:p>
            <w:pPr>
              <w:jc w:val="both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285" w:type="dxa"/>
          </w:tcPr>
          <w:p>
            <w:pPr>
              <w:jc w:val="center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"</w:t>
            </w:r>
          </w:p>
        </w:tc>
        <w:tc>
          <w:tcPr>
            <w:tcW w:w="1125" w:type="dxa"/>
          </w:tcPr>
          <w:p>
            <w:pPr>
              <w:jc w:val="both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570" w:type="dxa"/>
          </w:tcPr>
          <w:p>
            <w:pPr>
              <w:jc w:val="center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20</w:t>
            </w:r>
          </w:p>
        </w:tc>
        <w:tc>
          <w:tcPr>
            <w:tcW w:w="705" w:type="dxa"/>
          </w:tcPr>
          <w:p>
            <w:pPr>
              <w:jc w:val="both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855" w:type="dxa"/>
          </w:tcPr>
          <w:p>
            <w:pPr>
              <w:jc w:val="center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года N</w:t>
            </w:r>
          </w:p>
        </w:tc>
        <w:tc>
          <w:tcPr>
            <w:tcW w:w="720" w:type="dxa"/>
          </w:tcPr>
          <w:p>
            <w:pPr>
              <w:jc w:val="center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705" w:type="dxa"/>
          </w:tcPr>
          <w:p>
            <w:pPr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.</w:t>
            </w:r>
          </w:p>
        </w:tc>
      </w:tr>
    </w:tbl>
    <w:p>
      <w:pPr>
        <w:jc w:val="both"/>
        <w:ind w:firstLine="570"/>
        <w:spacing w:after="0" w:lineRule="auto" w:line="240"/>
        <w:tabs>
          <w:tab w:val="left" w:pos="8640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 xml:space="preserve">Общая сумма обязательства Поручителя по настоящему Договору составляет рублей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vertAlign w:val="superscript"/>
          <w:color w:val="000000"/>
        </w:rPr>
        <w:t>8</w:t>
      </w:r>
      <w:r>
        <w:rPr>
          <w:rFonts w:ascii="Times New Roman" w:hAnsi="Times New Roman" w:cs="Times New Roman" w:eastAsia="Times New Roman"/>
          <w:color w:val="000000"/>
        </w:rPr>
        <w:t>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center"/>
        <w:keepLines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2. Взаимодействие Сторон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2.1. Взаимодействие Сторон осуществляется в соответствии с законодательством Российской Федерации.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2.2. Поручитель обязан исполнить в полном объеме обязанность Плательщика по возврату (уплате) налога, сбора, страховых взносов, пени, штрафа, процентов, если Плательщик не уплатит соответствующие суммы в установленный срок.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2.3. Налоговый орган имеет право взыскания сумм налога, сбора, страховых взносов, пени, штрафа, процентов с Поручителя в порядке, предусмотренном законодательством Российской Федерации о налогах и сборах.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2.4. По исполнении Поручителем взятых на себя обязательств в соответствии с настоящим договором к нему переходит право требовать от Плательщика уплаченных им сумм, а также процентов по этим суммам и возмещения убытков, понесенных в связи с исполнением обязанности Плательщика.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2.5. При неисполнении Плательщиком обязанности по возврату (уплате) налога, сбора, страховых взносов, пени, штрафа, процентов, обеспеченной поручительством, Поручитель и Плательщик несут солидарную ответственность.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center"/>
        <w:keepLines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3. Срок действия договора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3.1. Договор вступает в силу с даты его подписания Сторонами.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3.2. Договор действует до полного исполнения Плательщиком и (или) Поручителем обязательств, указанных в пункте 1.1 настоящего Договора</w:t>
      </w:r>
      <w:r>
        <w:rPr>
          <w:rFonts w:ascii="Times New Roman" w:hAnsi="Times New Roman" w:cs="Times New Roman" w:eastAsia="Times New Roman"/>
          <w:vertAlign w:val="superscript"/>
          <w:color w:val="000000"/>
        </w:rPr>
        <w:t>9</w:t>
      </w:r>
      <w:r>
        <w:rPr>
          <w:rFonts w:ascii="Times New Roman" w:hAnsi="Times New Roman" w:cs="Times New Roman" w:eastAsia="Times New Roman"/>
          <w:color w:val="000000"/>
        </w:rPr>
        <w:t>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center"/>
        <w:keepLines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4. Прочие условия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4.1. К правоотношениям, возникающим при установлении поручительства в качестве меры по обеспечению исполнения обязанности по возврату (уплате) налога, сбора, страховых взносов, пени, штрафа, процентов применяются положения гражданского законодательства Российской Федерации, если иное не предусмотрено законодательством о налогах и сборах.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4.2. Стороны в соответствии с пунктом 2 статьи 160 Гражданского кодекса Российской Федерации</w:t>
      </w:r>
      <w:r>
        <w:rPr>
          <w:rFonts w:ascii="Times New Roman" w:hAnsi="Times New Roman" w:cs="Times New Roman" w:eastAsia="Times New Roman"/>
          <w:vertAlign w:val="superscript"/>
          <w:color w:val="000000"/>
        </w:rPr>
        <w:t>10</w:t>
      </w:r>
      <w:r>
        <w:rPr>
          <w:rFonts w:ascii="Times New Roman" w:hAnsi="Times New Roman" w:cs="Times New Roman" w:eastAsia="Times New Roman"/>
          <w:color w:val="000000"/>
        </w:rPr>
        <w:t xml:space="preserve"> соглашаются на допустимость использования при совершении настоящего Договора квалифицированных электронных подписей</w:t>
      </w:r>
      <w:r>
        <w:rPr>
          <w:rFonts w:ascii="Times New Roman" w:hAnsi="Times New Roman" w:cs="Times New Roman" w:eastAsia="Times New Roman"/>
          <w:vertAlign w:val="superscript"/>
          <w:color w:val="000000"/>
        </w:rPr>
        <w:t>11</w:t>
      </w:r>
      <w:r>
        <w:rPr>
          <w:rFonts w:ascii="Times New Roman" w:hAnsi="Times New Roman" w:cs="Times New Roman" w:eastAsia="Times New Roman"/>
          <w:color w:val="000000"/>
        </w:rPr>
        <w:t xml:space="preserve"> вместо собственноручных подписей представителей Сторон.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4.3. Договор составлен в 2 (двух) экземплярах, имеющих равную юридическую силу, по 1 (одному) для каждой из Сторон</w:t>
      </w:r>
      <w:r>
        <w:rPr>
          <w:rFonts w:ascii="Times New Roman" w:hAnsi="Times New Roman" w:cs="Times New Roman" w:eastAsia="Times New Roman"/>
          <w:vertAlign w:val="superscript"/>
          <w:color w:val="000000"/>
        </w:rPr>
        <w:t>12</w:t>
      </w:r>
      <w:r>
        <w:rPr>
          <w:rFonts w:ascii="Times New Roman" w:hAnsi="Times New Roman" w:cs="Times New Roman" w:eastAsia="Times New Roman"/>
          <w:color w:val="000000"/>
        </w:rPr>
        <w:t>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center"/>
        <w:keepLines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5. Место нахождения Сторон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tbl>
      <w:tblPr>
        <w:tblW w:w="1009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20"/>
        <w:gridCol w:w="3255"/>
        <w:gridCol w:w="3690"/>
      </w:tblGrid>
      <w:tr>
        <w:tc>
          <w:tcPr>
            <w:tcW w:w="3120" w:type="dxa"/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Налоговый орган</w:t>
            </w:r>
          </w:p>
        </w:tc>
        <w:tc>
          <w:tcPr>
            <w:tcW w:w="3255" w:type="dxa"/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690" w:type="dxa"/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Поручитель</w:t>
            </w:r>
          </w:p>
        </w:tc>
      </w:tr>
      <w:tr>
        <w:tc>
          <w:tcPr>
            <w:tcW w:w="3120" w:type="dxa"/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255" w:type="dxa"/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690" w:type="dxa"/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</w:tbl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center"/>
        <w:keepLines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6. Подписи Сторон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tbl>
      <w:tblPr>
        <w:tblW w:w="1009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20"/>
        <w:gridCol w:w="3255"/>
        <w:gridCol w:w="3690"/>
      </w:tblGrid>
      <w:tr>
        <w:tc>
          <w:tcPr>
            <w:tcW w:w="3120" w:type="dxa"/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От имени Налогового органа</w:t>
            </w:r>
          </w:p>
        </w:tc>
        <w:tc>
          <w:tcPr>
            <w:tcW w:w="3255" w:type="dxa"/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690" w:type="dxa"/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>От имени Поручителя</w:t>
            </w:r>
          </w:p>
        </w:tc>
      </w:tr>
      <w:tr>
        <w:tc>
          <w:tcPr>
            <w:tcW w:w="3120" w:type="dxa"/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255" w:type="dxa"/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  <w:tc>
          <w:tcPr>
            <w:tcW w:w="3690" w:type="dxa"/>
          </w:tcPr>
          <w:p>
            <w:pPr>
              <w:jc w:val="both"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color w:val="000000"/>
              </w:rPr>
              <w:t/>
            </w:r>
          </w:p>
        </w:tc>
      </w:tr>
    </w:tbl>
    <w:p>
      <w:pPr>
        <w:jc w:val="both"/>
        <w:ind w:firstLine="570"/>
        <w:spacing w:after="0" w:lineRule="auto" w:line="240"/>
        <w:tabs>
          <w:tab w:val="left" w:pos="570"/>
          <w:tab w:val="left" w:pos="2835"/>
        </w:tabs>
      </w:pP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vertAlign w:val="superscript"/>
          <w:sz w:val="20"/>
          <w:color w:val="000000"/>
        </w:rPr>
        <w:t>1</w:t>
      </w:r>
      <w:r>
        <w:rPr>
          <w:rFonts w:ascii="Times New Roman" w:hAnsi="Times New Roman" w:cs="Times New Roman" w:eastAsia="Times New Roman"/>
          <w:sz w:val="20"/>
          <w:color w:val="000000"/>
        </w:rPr>
        <w:t xml:space="preserve"> Место составления.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vertAlign w:val="superscript"/>
          <w:sz w:val="20"/>
          <w:color w:val="000000"/>
        </w:rPr>
        <w:t>2</w:t>
      </w:r>
      <w:r>
        <w:rPr>
          <w:rFonts w:ascii="Times New Roman" w:hAnsi="Times New Roman" w:cs="Times New Roman" w:eastAsia="Times New Roman"/>
          <w:sz w:val="20"/>
          <w:color w:val="000000"/>
        </w:rPr>
        <w:t xml:space="preserve"> Не заполняется при представлении Договора в соответствии с пунктом 4.2 настоящего Договора. Указанная дата - дата электронной подписи налогового органа.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vertAlign w:val="superscript"/>
          <w:sz w:val="20"/>
          <w:color w:val="000000"/>
        </w:rPr>
        <w:t>3</w:t>
      </w:r>
      <w:r>
        <w:rPr>
          <w:rFonts w:ascii="Times New Roman" w:hAnsi="Times New Roman" w:cs="Times New Roman" w:eastAsia="Times New Roman"/>
          <w:sz w:val="20"/>
          <w:color w:val="000000"/>
        </w:rPr>
        <w:t xml:space="preserve"> Не заполняется при представлении Договора в соответствии с пунктом 4.2 настоящего Договора.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vertAlign w:val="superscript"/>
          <w:sz w:val="20"/>
          <w:color w:val="000000"/>
        </w:rPr>
        <w:t>4</w:t>
      </w:r>
      <w:r>
        <w:rPr>
          <w:rFonts w:ascii="Times New Roman" w:hAnsi="Times New Roman" w:cs="Times New Roman" w:eastAsia="Times New Roman"/>
          <w:sz w:val="20"/>
          <w:color w:val="000000"/>
        </w:rPr>
        <w:t xml:space="preserve"> Полное наименование, ИНН и КПП Плательщика.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vertAlign w:val="superscript"/>
          <w:sz w:val="20"/>
          <w:color w:val="000000"/>
        </w:rPr>
        <w:t>5</w:t>
      </w:r>
      <w:r>
        <w:rPr>
          <w:rFonts w:ascii="Times New Roman" w:hAnsi="Times New Roman" w:cs="Times New Roman" w:eastAsia="Times New Roman"/>
          <w:sz w:val="20"/>
          <w:color w:val="000000"/>
        </w:rPr>
        <w:t xml:space="preserve"> Выбрать необходимый пункт или пункты.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vertAlign w:val="superscript"/>
          <w:sz w:val="20"/>
          <w:color w:val="000000"/>
        </w:rPr>
        <w:t>6</w:t>
      </w:r>
      <w:r>
        <w:rPr>
          <w:rFonts w:ascii="Times New Roman" w:hAnsi="Times New Roman" w:cs="Times New Roman" w:eastAsia="Times New Roman"/>
          <w:sz w:val="20"/>
          <w:color w:val="000000"/>
        </w:rPr>
        <w:t xml:space="preserve"> Предельная сумма налога на добавленную стоимость.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vertAlign w:val="superscript"/>
          <w:sz w:val="20"/>
          <w:color w:val="000000"/>
        </w:rPr>
        <w:t>7</w:t>
      </w:r>
      <w:r>
        <w:rPr>
          <w:rFonts w:ascii="Times New Roman" w:hAnsi="Times New Roman" w:cs="Times New Roman" w:eastAsia="Times New Roman"/>
          <w:sz w:val="20"/>
          <w:color w:val="000000"/>
        </w:rPr>
        <w:t xml:space="preserve"> Предельная сумма акциза.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vertAlign w:val="superscript"/>
          <w:sz w:val="20"/>
          <w:color w:val="000000"/>
        </w:rPr>
        <w:t xml:space="preserve">8 </w:t>
      </w:r>
      <w:r>
        <w:rPr>
          <w:rFonts w:ascii="Times New Roman" w:hAnsi="Times New Roman" w:cs="Times New Roman" w:eastAsia="Times New Roman"/>
          <w:sz w:val="20"/>
          <w:color w:val="000000"/>
        </w:rPr>
        <w:t>Общая сумма обязательств определяется как сумма всех обязательств по пункту 1.1 настоящего Договора.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vertAlign w:val="superscript"/>
          <w:sz w:val="20"/>
          <w:color w:val="000000"/>
        </w:rPr>
        <w:t xml:space="preserve">9 </w:t>
      </w:r>
      <w:r>
        <w:rPr>
          <w:rFonts w:ascii="Times New Roman" w:hAnsi="Times New Roman" w:cs="Times New Roman" w:eastAsia="Times New Roman"/>
          <w:sz w:val="20"/>
          <w:color w:val="000000"/>
        </w:rPr>
        <w:t>При заключении Договора в целях применения статьи 176.1 Налогового кодекса и статьи 184 Налогового кодекса срок действия Договора определяется с учетом требований пункта 4.1 статьи 176.1 и пункта 2.2 статьи 184 Налогового кодекса.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vertAlign w:val="superscript"/>
          <w:sz w:val="20"/>
          <w:color w:val="000000"/>
        </w:rPr>
        <w:t xml:space="preserve">10 </w:t>
      </w:r>
      <w:r>
        <w:rPr>
          <w:rFonts w:ascii="Times New Roman" w:hAnsi="Times New Roman" w:cs="Times New Roman" w:eastAsia="Times New Roman"/>
          <w:sz w:val="20"/>
          <w:color w:val="000000"/>
        </w:rPr>
        <w:t>Собрание законодательства Российской Федерации, 1994, N 32, ст. 3301; 2018, N 32 (ч. 2), ст. 5132.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vertAlign w:val="superscript"/>
          <w:sz w:val="20"/>
          <w:color w:val="000000"/>
        </w:rPr>
        <w:t>11</w:t>
      </w:r>
      <w:r>
        <w:rPr>
          <w:rFonts w:ascii="Times New Roman" w:hAnsi="Times New Roman" w:cs="Times New Roman" w:eastAsia="Times New Roman"/>
          <w:sz w:val="20"/>
          <w:color w:val="000000"/>
        </w:rPr>
        <w:t xml:space="preserve"> В соответствии с Федеральным законом от 06.04.2011 N 63-ФЗ "Об электронной подписи" (Собрание законодательства Российской Федерации, 2011, N 15, ст. 2036; 2016, N 26 (ч. 1), ст. 3889).</w:t>
      </w:r>
    </w:p>
    <w:p>
      <w:pPr>
        <w:jc w:val="both"/>
        <w:ind w:firstLine="570"/>
      </w:pPr>
      <w:r>
        <w:rPr>
          <w:rFonts w:ascii="Times New Roman" w:hAnsi="Times New Roman" w:cs="Times New Roman" w:eastAsia="Times New Roman"/>
          <w:vertAlign w:val="superscript"/>
          <w:sz w:val="20"/>
          <w:color w:val="000000"/>
        </w:rPr>
        <w:t xml:space="preserve">12 </w:t>
      </w:r>
      <w:r>
        <w:rPr>
          <w:rFonts w:ascii="Times New Roman" w:hAnsi="Times New Roman" w:cs="Times New Roman" w:eastAsia="Times New Roman"/>
          <w:sz w:val="20"/>
          <w:color w:val="000000"/>
        </w:rPr>
        <w:t>Для Договоров, представленных в бумажной форме.</w:t>
      </w:r>
    </w:p>
    <w:sectPr>
      <w:pgSz w:w="11906" w:h="16838"/>
      <w:pgMar w:top="851" w:right="567" w:bottom="1134" w:left="1134" w:header="709" w:footer="709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charset w:val="CC"/>
  </w:font>
  <w:font w:name="Times New Roman">
    <w:charset w:val="CC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  <w:pPr>
      <w:widowControl/>
      <w:spacing w:after="165" w:lineRule="auto" w:line="256"/>
    </w:pPr>
    <w:rPr>
      <w:rFonts w:ascii="Calibri" w:hAnsi="Calibri" w:cs="Calibri" w:eastAsia="Calibri"/>
      <w:sz w:val="22"/>
    </w:rPr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Set" Type="http://schemas.openxmlformats.org/officeDocument/2006/relationships/settings" Target="settings.xml"/></Relationship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/>
</file>