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8"/>
          <w:color w:val="000000"/>
        </w:rPr>
        <w:t>Приложение N 7</w:t>
      </w:r>
    </w:p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8"/>
          <w:color w:val="000000"/>
        </w:rPr>
        <w:t/>
      </w:r>
    </w:p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8"/>
          <w:color w:val="000000"/>
        </w:rPr>
        <w:t>УТВЕРЖДЕНО</w:t>
      </w:r>
    </w:p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8"/>
          <w:color w:val="000000"/>
        </w:rPr>
        <w:t>приказом ФНС России</w:t>
      </w:r>
    </w:p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8"/>
          <w:color w:val="000000"/>
        </w:rPr>
        <w:t>от 11.05.2021 N ЕД-7-23/476@</w:t>
      </w:r>
    </w:p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Форма по КНД 1110304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tbl>
      <w:tblPr>
        <w:tblW w:w="1023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75"/>
        <w:gridCol w:w="420"/>
        <w:gridCol w:w="6060"/>
      </w:tblGrid>
      <w:tr>
        <w:tc>
          <w:tcPr>
            <w:tcW w:w="367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ind w:firstLine="570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2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В</w:t>
            </w:r>
          </w:p>
        </w:tc>
        <w:tc>
          <w:tcPr>
            <w:tcW w:w="6060" w:type="dxa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367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ind w:firstLine="570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42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606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(наименование налогового органа по месту нахождения организации (по месту учета в качестве крупнейшего налогоплательщика)</w:t>
            </w:r>
          </w:p>
        </w:tc>
      </w:tr>
    </w:tbl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2"/>
          <w:color w:val="000000"/>
        </w:rPr>
        <w:t/>
      </w:r>
    </w:p>
    <w:tbl>
      <w:tblPr>
        <w:tblW w:w="1026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85"/>
        <w:gridCol w:w="135"/>
        <w:gridCol w:w="405"/>
        <w:gridCol w:w="180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50"/>
        <w:gridCol w:w="435"/>
      </w:tblGrid>
      <w:tr>
        <w:tc>
          <w:tcPr>
            <w:tcW w:w="358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ind w:firstLine="570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895" w:type="dxa"/>
            <w:gridSpan w:val="8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Код налогового органа</w:t>
            </w:r>
          </w:p>
        </w:tc>
        <w:tc>
          <w:tcPr>
            <w:tcW w:w="43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50" w:type="dxa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358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ind w:firstLine="570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895" w:type="dxa"/>
            <w:gridSpan w:val="8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 xml:space="preserve">Порядковый номер редакции </w:t>
            </w:r>
          </w:p>
        </w:tc>
        <w:tc>
          <w:tcPr>
            <w:tcW w:w="43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nil"/>
              <w:right w:val="single" w:sz="6" w:color="000000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/</w:t>
            </w:r>
          </w:p>
        </w:tc>
        <w:tc>
          <w:tcPr>
            <w:tcW w:w="43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50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358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ind w:firstLine="570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13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40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18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43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43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43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43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43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1740" w:type="dxa"/>
            <w:gridSpan w:val="4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год</w:t>
            </w:r>
          </w:p>
        </w:tc>
        <w:tc>
          <w:tcPr>
            <w:tcW w:w="435" w:type="dxa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/</w:t>
            </w:r>
          </w:p>
        </w:tc>
        <w:tc>
          <w:tcPr>
            <w:tcW w:w="1320" w:type="dxa"/>
            <w:gridSpan w:val="3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номер</w:t>
            </w:r>
            <w:r>
              <w:rPr>
                <w:rFonts w:ascii="Times New Roman" w:hAnsi="Times New Roman" w:cs="Times New Roman" w:eastAsia="Times New Roman"/>
                <w:vertAlign w:val="superscript"/>
                <w:sz w:val="20"/>
                <w:color w:val="000000"/>
              </w:rPr>
              <w:t>1</w:t>
            </w:r>
          </w:p>
        </w:tc>
      </w:tr>
      <w:tr>
        <w:tc>
          <w:tcPr>
            <w:tcW w:w="358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ind w:firstLine="570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720" w:type="dxa"/>
            <w:gridSpan w:val="3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Дата</w:t>
            </w:r>
            <w:r>
              <w:rPr>
                <w:rFonts w:ascii="Times New Roman" w:hAnsi="Times New Roman" w:cs="Times New Roman" w:eastAsia="Times New Roman"/>
                <w:vertAlign w:val="superscript"/>
                <w:color w:val="000000"/>
              </w:rPr>
              <w:t xml:space="preserve">2 </w:t>
            </w:r>
          </w:p>
        </w:tc>
        <w:tc>
          <w:tcPr>
            <w:tcW w:w="43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nil"/>
              <w:top w:val="nil"/>
              <w:right w:val="single" w:sz="6" w:color="auto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358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ind w:firstLine="570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13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40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18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43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43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43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43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43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870" w:type="dxa"/>
            <w:gridSpan w:val="2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число</w:t>
            </w:r>
          </w:p>
        </w:tc>
        <w:tc>
          <w:tcPr>
            <w:tcW w:w="870" w:type="dxa"/>
            <w:gridSpan w:val="2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месяц</w:t>
            </w:r>
          </w:p>
        </w:tc>
        <w:tc>
          <w:tcPr>
            <w:tcW w:w="1755" w:type="dxa"/>
            <w:gridSpan w:val="4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год</w:t>
            </w:r>
          </w:p>
        </w:tc>
      </w:tr>
      <w:tr>
        <w:tc>
          <w:tcPr>
            <w:tcW w:w="358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ind w:firstLine="570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895" w:type="dxa"/>
            <w:gridSpan w:val="8"/>
            <w:tcBorders>
              <w:left w:val="nil"/>
              <w:top w:val="nil"/>
              <w:right w:val="single" w:sz="6" w:color="auto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 xml:space="preserve">Период налогового </w:t>
            </w:r>
          </w:p>
        </w:tc>
        <w:tc>
          <w:tcPr>
            <w:tcW w:w="43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nil"/>
              <w:right w:val="single" w:sz="6" w:color="000000"/>
              <w:bottom w:val="single" w:sz="6" w:color="000000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single" w:sz="6" w:color="000000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5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43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jc w:val="both"/>
        <w:ind w:firstLine="369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мониторинга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center"/>
        <w:keepLines/>
        <w:spacing w:after="0" w:lineRule="auto" w:line="240"/>
      </w:pPr>
      <w:r>
        <w:rPr>
          <w:rFonts w:ascii="Times New Roman" w:hAnsi="Times New Roman" w:cs="Times New Roman" w:eastAsia="Times New Roman"/>
          <w:b/>
          <w:sz w:val="28"/>
          <w:color w:val="000000"/>
        </w:rPr>
        <w:t>РЕГЛАМЕНТ ИНФОРМАЦИОННОГО ВЗАИМОДЕЙСТВИЯ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</w:p>
    <w:p>
      <w:pPr>
        <w:pStyle w:val="1"/>
        <w:jc w:val="center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>(сокращенное наименование организации)</w:t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</w:p>
    <w:p>
      <w:pPr>
        <w:pStyle w:val="1"/>
        <w:jc w:val="center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>(полное наименование организации)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tbl>
      <w:tblPr>
        <w:tblW w:w="990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0"/>
        <w:gridCol w:w="300"/>
        <w:gridCol w:w="300"/>
        <w:gridCol w:w="300"/>
        <w:gridCol w:w="300"/>
        <w:gridCol w:w="885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9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</w:tblGrid>
      <w:tr>
        <w:tc>
          <w:tcPr>
            <w:tcW w:w="30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88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ИНН</w:t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90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КПП</w:t>
            </w:r>
            <w:r>
              <w:rPr>
                <w:rFonts w:ascii="Times New Roman" w:hAnsi="Times New Roman" w:cs="Times New Roman" w:eastAsia="Times New Roman"/>
                <w:vertAlign w:val="superscript"/>
                <w:color w:val="000000"/>
              </w:rPr>
              <w:t>3</w:t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  <w:tabs>
          <w:tab w:val="left" w:pos="570"/>
          <w:tab w:val="left" w:pos="2265"/>
        </w:tabs>
      </w:pP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18"/>
          <w:color w:val="000000"/>
        </w:rPr>
        <w:t>1</w:t>
      </w:r>
      <w:r>
        <w:rPr>
          <w:rFonts w:ascii="Times New Roman" w:hAnsi="Times New Roman" w:cs="Times New Roman" w:eastAsia="Times New Roman"/>
          <w:sz w:val="18"/>
          <w:color w:val="000000"/>
        </w:rPr>
        <w:t xml:space="preserve"> Указывается период проведения налогового мониторинга, на который представлен регламент информационного взаимодействия, и номер версии представляемого регламента информационного взаимодействия "00", в последующем (уточненном) регламенте информационного взаимодействия указывается номер корректировки версии "01", "02" и т.д.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18"/>
          <w:color w:val="000000"/>
        </w:rPr>
        <w:t>2</w:t>
      </w:r>
      <w:r>
        <w:rPr>
          <w:rFonts w:ascii="Times New Roman" w:hAnsi="Times New Roman" w:cs="Times New Roman" w:eastAsia="Times New Roman"/>
          <w:sz w:val="18"/>
          <w:color w:val="000000"/>
        </w:rPr>
        <w:t xml:space="preserve"> Указывается дата, по состоянию на которую представляется регламент информационного взаимодействия, в формате: дд.мм.ггг.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18"/>
          <w:color w:val="000000"/>
        </w:rPr>
        <w:t>3</w:t>
      </w:r>
      <w:r>
        <w:rPr>
          <w:rFonts w:ascii="Times New Roman" w:hAnsi="Times New Roman" w:cs="Times New Roman" w:eastAsia="Times New Roman"/>
          <w:sz w:val="18"/>
          <w:color w:val="000000"/>
        </w:rPr>
        <w:t xml:space="preserve"> Указывается КПП, присвоенный организации при постановке на учет в налоговом органе по месту ее нахождения. Для организации, отнесенной в соответствии со статьей 83 Налогового кодекса Российской Федерации к категории крупнейших налогоплательщиков, указывается КПП, присвоенный при постановке на учет в налоговом органе в качестве крупнейшего налогоплательщика.</w:t>
      </w:r>
    </w:p>
    <w:p>
      <w:r>
        <w:br w:type="page"/>
      </w:r>
    </w:p>
    <w:p>
      <w:pPr>
        <w:jc w:val="center"/>
        <w:keepLines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Глава I. Порядок представления налоговому органу документов (информации)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1.1. Порядок доступа к информационным системам организации, в которых содержатся документы (информация), связанные с исчислением (удержанием), уплатой (перечислением) налогов, сборов, страховых взносов, а также документы (информация) о системе внутреннего контроля данной организации за совершаемыми фактами хозяйственной жизни и правильностью исчисления (удержания), полнотой и своевременностью уплаты (перечисления) налогов, сборов, страховых взносов.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1.1.1. Информационные системы организации, в которых содержатся документы (информация), связанные с исчислением (удержанием), уплатой (перечислением) налогов, сборов, страховых взносов, а также документы (информация) о системе внутреннего контроля данной организации за совершаемыми фактами хозяйственной жизни и правильностью исчисления (удержания), полнотой и своевременностью уплаты (перечисления) налогов, сборов, страховых взносов (приложение N 1 к настоящему Регламенту).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1.1.2. Порядок доступа к информационным системам организации (приложение N 2 к настоящему Регламенту).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1.1.3. Учетные записи пользователей налогового органа в информационных системах организации (приложение N 3 к настоящему Регламенту).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1.1.4. Техническая и информационная поддержка пользователей налогового органа в информационных системах организации (приложение N 4 к настоящему Регламенту).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1.1.5. Функциональные возможности информационных систем организации по работе с экранными формами и интерфейсами (приложение N 5 к настоящему Регламенту).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1.1.6. Функциональные возможности информационных систем организации по работе с документами (информацией) (приложение N 6 к настоящему Регламенту).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1.2. Порядок и сроки представления налоговому органу документов (информации), связанных с исчислением (удержанием), уплатой (перечислением) налогов, сборов, страховых взносов, а также документов (информации) о системе внутреннего контроля данной организации за совершаемыми фактами хозяйственной жизни и правильностью исчисления (удержания), полнотой и своевременностью уплаты (перечисления) налогов, сборов, страховых взносов через информационные системы организации и (или) по телекоммуникационным каналам связи через оператора электронного документооборота, а также форматы представляемых документов (информации) (приложение N 7 к настоящему Регламенту).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1.3. Информация о лицах, ответственных за информационное взаимодействие с налоговым органом (приложение N 8 к настоящему Регламенту).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1.4. Порядок структурирования представляемой информации (файлов).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1.5. Способы определения и подтверждения целостности (объема) представленных и полученных документов (информации).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1.6. Порядок информационного взаимодействия налогового органа и организации при представлении (изменении) документов (информации), в том числе: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способ информационного взаимодействия: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"1" - предоставление доступа к информационным системам организации;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"2" - предоставление доступа к аналитической витрине данных;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"3" - по телекоммуникационным каналам связи через оператора электронного документооборота.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Параметры для подключения автоматизированной информационной системы Федеральной налоговой службы Российской Федерации (АИС "Налог-3") к информационной системе организации, к которой предоставлен доступ налоговому органу (уникальный адрес для подключения).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1.7. Способ защиты передаваемой информации.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1.8. Порядок ознакомления налогового органа с подлинниками документов, связанных с исчислением (удержанием), уплатой (перечислением) налогов, сборов, страховых взносов, а также документов о системе внутреннего контроля данной организации за совершаемыми фактами хозяйственной жизни и правильностью исчисления (удержания), полнотой и своевременностью уплаты (перечисления) налогов, сборов, страховых взносов.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center"/>
        <w:keepLines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Глава II. Раскрытие показателей налоговой отчетности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2.1. Структура раскрытия показателей налоговой отчетности (приложение N 9 к настоящему Регламенту).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2.2. Сведения о регистрах бухгалтерского и налогового учета: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2.2.1. сведения о регистрах налогового учета (приложение N 10 к настоящему Регламенту);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2.2.2. сведения о регистрах бухгалтерского учета (приложение N 11 к настоящему Регламенту);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2.2.3. информация о способах формирования налоговой отчетности (приложение N 12 к настоящему Регламенту).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2.3. Сведения об иной информации, подтверждающей правильность исчисления (удержания), полноту и своевременность уплаты (перечисления) налогов, сборов, страховых взносов.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center"/>
        <w:keepLines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Глава III. Информация о системе внутреннего контроля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3.1. Информационные системы организации, в которых реализуется внутренний контроль за совершаемыми фактами хозяйственной жизни и правильностью исчисления (удержания), полнотой и своевременностью уплаты (перечисления) налогов, сборов, страховых взносов (приложение N 13 к настоящему Регламенту).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3.1.1. Функциональные возможности информационных систем организации по выполнению внутреннего контроля правильности формирования показателей налоговой отчетности (приложение N 14 к настоящему Регламенту).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3.1.2. Функциональные возможности информационных систем организации по выполнению внутреннего контроля справочной информации (приложение N 15 к настоящему Регламенту).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3.1.3. Функциональные возможности информационных систем организации по выполнению внутреннего контроля правильности отражения в учете первичных документов (приложение N 16 к настоящему Регламенту).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3.1.4. Функциональные возможности информационных систем организации по хранению и обработке результатов внутреннего контроля (приложение N 17 к настоящему Регламенту).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3.2. Информация об аудите информационных систем, реализующих функции внутреннего контроля (приложение N 18 к настоящему Регламенту).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center"/>
        <w:keepLines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Глава IV. Информация о порядке внесения изменений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4.1. Порядок и сроки внесения изменений и дополнений в Регламент (приложение N 19 к настоящему Регламенту).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</w:p>
    <w:p>
      <w:pPr>
        <w:pStyle w:val="1"/>
        <w:jc w:val="center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>(должность, Ф.И.О.</w:t>
      </w:r>
      <w:r>
        <w:rPr>
          <w:rFonts w:ascii="Times New Roman" w:hAnsi="Times New Roman" w:cs="Times New Roman" w:eastAsia="Times New Roman"/>
          <w:vertAlign w:val="superscript"/>
          <w:color w:val="000000"/>
        </w:rPr>
        <w:t>4</w:t>
      </w:r>
      <w:r>
        <w:rPr>
          <w:rFonts w:ascii="Times New Roman" w:hAnsi="Times New Roman" w:cs="Times New Roman" w:eastAsia="Times New Roman"/>
          <w:color w:val="000000"/>
        </w:rPr>
        <w:t xml:space="preserve"> руководителя организации (представителя организации)</w:t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</w:p>
    <w:p>
      <w:pPr>
        <w:pStyle w:val="1"/>
        <w:jc w:val="center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>(наименование и реквизиты документа, подтверждающего полномочия представителя организации)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tbl>
      <w:tblPr>
        <w:tblW w:w="909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0"/>
        <w:gridCol w:w="2850"/>
        <w:gridCol w:w="840"/>
        <w:gridCol w:w="2550"/>
        <w:gridCol w:w="1275"/>
      </w:tblGrid>
      <w:tr>
        <w:tc>
          <w:tcPr>
            <w:tcW w:w="156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850" w:type="dxa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84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550" w:type="dxa"/>
            <w:tcBorders>
              <w:left w:val="nil"/>
              <w:top w:val="nil"/>
              <w:right w:val="nil"/>
              <w:bottom w:val="single" w:sz="6" w:color="auto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127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  <w:tr>
        <w:tc>
          <w:tcPr>
            <w:tcW w:w="156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285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(дата)</w:t>
            </w:r>
          </w:p>
        </w:tc>
        <w:tc>
          <w:tcPr>
            <w:tcW w:w="84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  <w:tc>
          <w:tcPr>
            <w:tcW w:w="2550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>(подпись)</w:t>
            </w:r>
          </w:p>
        </w:tc>
        <w:tc>
          <w:tcPr>
            <w:tcW w:w="1275" w:type="dxa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sz w:val="20"/>
                <w:color w:val="000000"/>
              </w:rPr>
              <w:t/>
            </w:r>
          </w:p>
        </w:tc>
      </w:tr>
    </w:tbl>
    <w:p>
      <w:pPr>
        <w:jc w:val="both"/>
        <w:ind w:firstLine="570"/>
        <w:spacing w:after="0" w:lineRule="auto" w:line="240"/>
        <w:tabs>
          <w:tab w:val="left" w:pos="570"/>
          <w:tab w:val="left" w:pos="1845"/>
        </w:tabs>
      </w:pPr>
      <w:r>
        <w:rPr>
          <w:rFonts w:ascii="Times New Roman" w:hAnsi="Times New Roman" w:cs="Times New Roman" w:eastAsia="Times New Roman"/>
          <w:u w:val="single"/>
          <w:color w:val="000000"/>
        </w:rPr>
        <w:t/>
      </w:r>
    </w:p>
    <w:p>
      <w:pPr>
        <w:jc w:val="both"/>
        <w:ind w:firstLine="570"/>
        <w:spacing w:after="0" w:lineRule="auto" w:line="240"/>
        <w:tabs>
          <w:tab w:val="left" w:pos="570"/>
          <w:tab w:val="left" w:pos="1845"/>
        </w:tabs>
      </w:pPr>
      <w:r>
        <w:rPr>
          <w:rFonts w:ascii="Times New Roman" w:hAnsi="Times New Roman" w:cs="Times New Roman" w:eastAsia="Times New Roman"/>
          <w:u w:val="single"/>
          <w:color w:val="000000"/>
        </w:rPr>
        <w:t/>
      </w:r>
    </w:p>
    <w:p>
      <w:pPr>
        <w:jc w:val="both"/>
        <w:ind w:firstLine="570"/>
        <w:spacing w:after="0" w:lineRule="auto" w:line="240"/>
        <w:tabs>
          <w:tab w:val="left" w:pos="570"/>
          <w:tab w:val="left" w:pos="1845"/>
        </w:tabs>
      </w:pPr>
      <w:r>
        <w:rPr>
          <w:rFonts w:ascii="Times New Roman" w:hAnsi="Times New Roman" w:cs="Times New Roman" w:eastAsia="Times New Roman"/>
          <w:u w:val="single"/>
          <w:color w:val="000000"/>
        </w:rPr>
        <w:t/>
      </w:r>
    </w:p>
    <w:p>
      <w:pPr>
        <w:jc w:val="both"/>
        <w:ind w:firstLine="570"/>
        <w:spacing w:after="0" w:lineRule="auto" w:line="240"/>
        <w:tabs>
          <w:tab w:val="left" w:pos="570"/>
          <w:tab w:val="left" w:pos="1845"/>
        </w:tabs>
      </w:pPr>
      <w:r>
        <w:rPr>
          <w:rFonts w:ascii="Times New Roman" w:hAnsi="Times New Roman" w:cs="Times New Roman" w:eastAsia="Times New Roman"/>
          <w:u w:val="single"/>
          <w:color w:val="000000"/>
        </w:rPr>
        <w:t/>
      </w:r>
    </w:p>
    <w:p>
      <w:pPr>
        <w:jc w:val="both"/>
        <w:ind w:firstLine="570"/>
        <w:spacing w:after="0" w:lineRule="auto" w:line="240"/>
        <w:tabs>
          <w:tab w:val="left" w:pos="570"/>
          <w:tab w:val="left" w:pos="1845"/>
        </w:tabs>
      </w:pPr>
      <w:r>
        <w:rPr>
          <w:rFonts w:ascii="Times New Roman" w:hAnsi="Times New Roman" w:cs="Times New Roman" w:eastAsia="Times New Roman"/>
          <w:u w:val="single"/>
          <w:color w:val="000000"/>
        </w:rPr>
        <w:t/>
      </w:r>
    </w:p>
    <w:p>
      <w:pPr>
        <w:jc w:val="both"/>
        <w:ind w:firstLine="570"/>
        <w:spacing w:after="0" w:lineRule="auto" w:line="240"/>
        <w:tabs>
          <w:tab w:val="left" w:pos="570"/>
          <w:tab w:val="left" w:pos="1845"/>
        </w:tabs>
      </w:pPr>
      <w:r>
        <w:rPr>
          <w:rFonts w:ascii="Times New Roman" w:hAnsi="Times New Roman" w:cs="Times New Roman" w:eastAsia="Times New Roman"/>
          <w:u w:val="single"/>
          <w:color w:val="000000"/>
        </w:rPr>
        <w:t/>
      </w:r>
    </w:p>
    <w:p>
      <w:pPr>
        <w:jc w:val="both"/>
        <w:ind w:firstLine="570"/>
        <w:spacing w:after="0" w:lineRule="auto" w:line="240"/>
        <w:tabs>
          <w:tab w:val="left" w:pos="570"/>
          <w:tab w:val="left" w:pos="1845"/>
        </w:tabs>
      </w:pPr>
      <w:r>
        <w:rPr>
          <w:rFonts w:ascii="Times New Roman" w:hAnsi="Times New Roman" w:cs="Times New Roman" w:eastAsia="Times New Roman"/>
          <w:u w:val="single"/>
          <w:color w:val="000000"/>
        </w:rPr>
        <w:t/>
      </w:r>
    </w:p>
    <w:p>
      <w:pPr>
        <w:jc w:val="both"/>
        <w:ind w:firstLine="570"/>
        <w:spacing w:after="0" w:lineRule="auto" w:line="240"/>
        <w:tabs>
          <w:tab w:val="left" w:pos="570"/>
          <w:tab w:val="left" w:pos="1845"/>
        </w:tabs>
      </w:pPr>
      <w:r>
        <w:rPr>
          <w:rFonts w:ascii="Times New Roman" w:hAnsi="Times New Roman" w:cs="Times New Roman" w:eastAsia="Times New Roman"/>
          <w:u w:val="single"/>
          <w:color w:val="000000"/>
        </w:rPr>
        <w:t/>
      </w:r>
    </w:p>
    <w:p>
      <w:pPr>
        <w:jc w:val="both"/>
        <w:ind w:firstLine="570"/>
        <w:spacing w:after="0" w:lineRule="auto" w:line="240"/>
        <w:tabs>
          <w:tab w:val="left" w:pos="570"/>
          <w:tab w:val="left" w:pos="1845"/>
        </w:tabs>
      </w:pP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70"/>
        <w:tabs>
          <w:tab w:val="left" w:pos="855"/>
        </w:tabs>
      </w:pPr>
      <w:r>
        <w:rPr>
          <w:rFonts w:ascii="Times New Roman" w:hAnsi="Times New Roman" w:cs="Times New Roman" w:eastAsia="Times New Roman"/>
          <w:vertAlign w:val="superscript"/>
          <w:sz w:val="18"/>
          <w:color w:val="000000"/>
        </w:rPr>
        <w:t>4</w:t>
      </w:r>
      <w:r>
        <w:rPr>
          <w:rFonts w:ascii="Times New Roman" w:hAnsi="Times New Roman" w:cs="Times New Roman" w:eastAsia="Times New Roman"/>
          <w:sz w:val="18"/>
          <w:color w:val="000000"/>
        </w:rPr>
        <w:t xml:space="preserve"> Отчество указывается при наличии</w:t>
      </w:r>
    </w:p>
    <w:sectPr>
      <w:pgSz w:w="11907" w:h="16840"/>
      <w:pgMar w:top="851" w:right="567" w:bottom="1134" w:left="1134" w:header="709" w:footer="709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charset w:val="CC"/>
  </w:font>
  <w:font w:name="Times New Roman">
    <w:charset w:val="CC"/>
  </w:font>
  <w:font w:name="Courier New">
    <w:charset w:val="CC"/>
  </w:font>
</w:font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  <w:pPr>
      <w:widowControl/>
      <w:spacing w:after="165" w:lineRule="auto" w:line="256"/>
    </w:pPr>
    <w:rPr>
      <w:rFonts w:ascii="Calibri" w:hAnsi="Calibri" w:cs="Calibri" w:eastAsia="Calibri"/>
      <w:sz w:val="22"/>
    </w:rPr>
  </w:style>
  <w:style w:type="paragraph" w:styleId="1">
    <w:name w:val="ConsPlusNonformat"/>
    <w:rPr>
      <w:rFonts w:ascii="Courier New" w:hAnsi="Courier New" w:cs="Courier New" w:eastAsia="Courier New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FT" /><Relationship Type="http://schemas.openxmlformats.org/officeDocument/2006/relationships/styles" Target="styles.xml" Id="rIdSt" /></Relationship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/>
</file>