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ody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8"/>
          <w:color w:val="000000"/>
        </w:rPr>
        <w:t>Приложение N 3</w:t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8"/>
          <w:color w:val="000000"/>
        </w:rPr>
        <w:t>к приказу ФНС России</w:t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sz w:val="18"/>
          <w:color w:val="000000"/>
        </w:rPr>
        <w:t>от 08.09.2021 N ЕД-7-20/799@</w:t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right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Форма по КНД 1110066</w:t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/>
      </w:r>
    </w:p>
    <w:p>
      <w:pPr>
        <w:jc w:val="center"/>
        <w:keepLines/>
        <w:spacing w:after="0" w:lineRule="auto" w:line="240"/>
      </w:pPr>
      <w:r>
        <w:rPr>
          <w:rFonts w:ascii="Times New Roman" w:hAnsi="Times New Roman" w:cs="Times New Roman" w:eastAsia="Times New Roman"/>
          <w:b/>
          <w:sz w:val="28"/>
          <w:color w:val="000000"/>
        </w:rPr>
        <w:t>КАРТОЧКА РЕГИСТРАЦИИ</w:t>
      </w:r>
    </w:p>
    <w:tbl>
      <w:tblPr>
        <w:tblW w:w="6825" w:type="dxa"/>
        <w:tblLayout w:type="fixed"/>
        <w:tblCellMar>
          <w:top w:w="0" w:type="dxa"/>
          <w:left w:w="105" w:type="dxa"/>
          <w:bottom w:w="0" w:type="dxa"/>
          <w:right w:w="105" w:type="dxa"/>
        </w:tblCellMar>
        <w:tblInd w:w="1845" w:type="dxa"/>
      </w:tblPr>
      <w:tblGrid>
        <w:gridCol w:w="5805"/>
        <w:gridCol w:w="990"/>
      </w:tblGrid>
      <w:tr>
        <w:tc>
          <w:tcPr>
            <w:tcW w:w="5805" w:type="dxa"/>
          </w:tcPr>
          <w:p>
            <w:pPr>
              <w:jc w:val="both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b/>
                <w:sz w:val="28"/>
                <w:color w:val="000000"/>
              </w:rPr>
              <w:t>КОНТРОЛЬНО-КАССОВОЙ ТЕХНИКИ N</w:t>
            </w:r>
          </w:p>
        </w:tc>
        <w:tc>
          <w:tcPr>
            <w:tcW w:w="990" w:type="dxa"/>
          </w:tcPr>
          <w:p>
            <w:pPr>
              <w:jc w:val="both"/>
              <w:keepLines/>
              <w:spacing w:after="0" w:lineRule="auto" w:line="240"/>
            </w:pPr>
            <w:r>
              <w:rPr>
                <w:rFonts w:ascii="Times New Roman" w:hAnsi="Times New Roman" w:cs="Times New Roman" w:eastAsia="Times New Roman"/>
                <w:b/>
                <w:color w:val="000000"/>
              </w:rPr>
              <w:t/>
            </w:r>
          </w:p>
        </w:tc>
      </w:tr>
    </w:tbl>
    <w:p>
      <w:pPr>
        <w:jc w:val="both"/>
        <w:keepLines/>
        <w:spacing w:after="0" w:lineRule="auto" w:line="240"/>
      </w:pPr>
      <w:r>
        <w:rPr>
          <w:rFonts w:ascii="Times New Roman" w:hAnsi="Times New Roman" w:cs="Times New Roman" w:eastAsia="Times New Roman"/>
          <w:b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382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Контрольно-кассовая техника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535"/>
        <w:spacing w:after="0" w:lineRule="auto" w:line="240"/>
        <w:tabs>
          <w:tab w:val="left" w:pos="3825"/>
          <w:tab w:val="left" w:pos="10200"/>
        </w:tabs>
      </w:pPr>
      <w:r>
        <w:rPr>
          <w:rFonts w:ascii="Times New Roman" w:hAnsi="Times New Roman" w:cs="Times New Roman" w:eastAsia="Times New Roman"/>
          <w:sz w:val="20"/>
          <w:color w:val="000000"/>
        </w:rPr>
        <w:t>(наименование модели)</w:t>
      </w:r>
    </w:p>
    <w:p>
      <w:pPr>
        <w:jc w:val="both"/>
        <w:ind w:firstLine="570"/>
        <w:spacing w:after="0" w:lineRule="auto" w:line="240"/>
        <w:tabs>
          <w:tab w:val="left" w:pos="709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Заводской номер экземпляра модели контрольно-кассовой техники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sz w:val="22"/>
        </w:rPr>
        <w:t>,</w:t>
      </w:r>
    </w:p>
    <w:p>
      <w:pPr>
        <w:jc w:val="both"/>
        <w:spacing w:after="0" w:lineRule="auto" w:line="240"/>
        <w:tabs>
          <w:tab w:val="left" w:pos="553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регистрационный номер контрольно-кассовой техники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  <w:tabs>
          <w:tab w:val="left" w:pos="397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Модель фискального накопителя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  <w:tabs>
          <w:tab w:val="left" w:pos="652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Заводской номер экземпляра модели фискального накопителя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  <w:tabs>
          <w:tab w:val="left" w:pos="2130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Принадлежит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pStyle w:val="1"/>
        <w:jc w:val="center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>(полное наименование организации-пользователя, ОГРН, ИНН, КПП; фамилия, имя, отчество (при наличии) индивидуального предпринимателя-пользователя, ОГРНИП, ИНН)</w:t>
      </w:r>
    </w:p>
    <w:p>
      <w:pPr>
        <w:jc w:val="both"/>
        <w:ind w:firstLine="570"/>
        <w:spacing w:after="0" w:lineRule="auto" w:line="240"/>
        <w:tabs>
          <w:tab w:val="left" w:pos="6660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Адрес установки (применения) контрольно-кассовой техники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jc w:val="both"/>
        <w:ind w:firstLine="570"/>
        <w:spacing w:after="0" w:lineRule="auto" w:line="240"/>
        <w:tabs>
          <w:tab w:val="left" w:pos="6660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Место установки (применения) контрольно-кассовой техники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jc w:val="both"/>
        <w:ind w:firstLine="570"/>
        <w:spacing w:after="0" w:lineRule="auto" w:line="240"/>
        <w:tabs>
          <w:tab w:val="left" w:pos="3975"/>
          <w:tab w:val="left" w:pos="10065"/>
        </w:tabs>
      </w:pPr>
      <w:r>
        <w:rPr>
          <w:rFonts w:ascii="Times New Roman" w:hAnsi="Times New Roman" w:cs="Times New Roman" w:eastAsia="Times New Roman"/>
          <w:color w:val="000000"/>
        </w:rPr>
        <w:t xml:space="preserve">Входит в состав автоматического устройства для расчетов в автоматическом режиме с применением контрольно-кассовой техники (да/нет)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color w:val="000000"/>
        </w:rPr>
        <w:t>,</w:t>
      </w:r>
    </w:p>
    <w:p>
      <w:pPr>
        <w:jc w:val="both"/>
        <w:spacing w:after="0" w:lineRule="auto" w:line="240"/>
        <w:tabs>
          <w:tab w:val="left" w:pos="1980"/>
          <w:tab w:val="left" w:pos="10065"/>
        </w:tabs>
      </w:pPr>
      <w:r>
        <w:rPr>
          <w:rFonts w:ascii="Times New Roman" w:hAnsi="Times New Roman" w:cs="Times New Roman" w:eastAsia="Times New Roman"/>
          <w:color w:val="000000"/>
        </w:rPr>
        <w:t xml:space="preserve">номер автоматического устройства для расчетов в автоматическом режиме с применением контрольно-кассовой техники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color w:val="000000"/>
        </w:rPr>
        <w:t>,</w:t>
      </w:r>
    </w:p>
    <w:p>
      <w:pPr>
        <w:jc w:val="both"/>
        <w:spacing w:after="0" w:lineRule="auto" w:line="240"/>
        <w:tabs>
          <w:tab w:val="left" w:pos="709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адрес установки (применения) автоматического устройства для расчетов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sz w:val="22"/>
        </w:rPr>
        <w:t>,</w:t>
      </w:r>
    </w:p>
    <w:p>
      <w:pPr>
        <w:jc w:val="both"/>
        <w:spacing w:after="0" w:lineRule="auto" w:line="240"/>
        <w:tabs>
          <w:tab w:val="left" w:pos="736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место установки (применения) автоматического устройства для расчетов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jc w:val="both"/>
        <w:ind w:firstLine="570"/>
        <w:spacing w:after="0" w:lineRule="auto" w:line="240"/>
        <w:tabs>
          <w:tab w:val="left" w:pos="8220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Пользователь является банковским платежным агентом (субагентом) (да/нет)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  <w:tabs>
          <w:tab w:val="left" w:pos="694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Пользователь является платежным агентом (субагентом) (да/нет)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  <w:tabs>
          <w:tab w:val="left" w:pos="694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Используется при приеме денежных средств при реализации лотерейных билетов, электронных лотерейных билетов, приеме лотерейных ставок и выплате денежных средств в виде выигрыша при осуществлении деятельности по проведению лотерей (да/нет)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  <w:tabs>
          <w:tab w:val="left" w:pos="652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Используется при приеме ставок и выплате денежных средств в виде выигрыша при осуществлении деятельности по организации и проведению азартных игр (да/нет)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  <w:tabs>
          <w:tab w:val="left" w:pos="892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Используется при выдаче (получении) обменных знаков игорного заведения и выдаче (получении) денежных средств в обмен на предъявленные обменные знаки игорного заведения (да/нет)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Используется для развозной и (или) разносной торговли (оказания услуг, выполнения работ)</w:t>
      </w:r>
    </w:p>
    <w:p>
      <w:pPr>
        <w:jc w:val="both"/>
        <w:spacing w:after="0" w:lineRule="auto" w:line="240"/>
        <w:tabs>
          <w:tab w:val="left" w:pos="1140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(да/нет)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  <w:tabs>
          <w:tab w:val="left" w:pos="1140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Используется при осуществлении расчетов за товары, маркированные средствами идентификации (да/нет)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</w:pPr>
      <w:r>
        <w:rPr>
          <w:rFonts w:ascii="Times New Roman" w:hAnsi="Times New Roman" w:cs="Times New Roman" w:eastAsia="Times New Roman"/>
          <w:color w:val="000000"/>
        </w:rPr>
        <w:t>Используется только при осуществлении расчетов в безналичном порядке в сети "Интернет"</w:t>
      </w:r>
    </w:p>
    <w:p>
      <w:pPr>
        <w:jc w:val="both"/>
        <w:spacing w:after="0" w:lineRule="auto" w:line="240"/>
        <w:tabs>
          <w:tab w:val="left" w:pos="1140"/>
          <w:tab w:val="left" w:pos="7230"/>
        </w:tabs>
      </w:pPr>
      <w:r>
        <w:rPr>
          <w:rFonts w:ascii="Times New Roman" w:hAnsi="Times New Roman" w:cs="Times New Roman" w:eastAsia="Times New Roman"/>
          <w:color w:val="000000"/>
        </w:rPr>
        <w:t xml:space="preserve">(да/нет)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color w:val="000000"/>
        </w:rPr>
        <w:t>, адрес сайта в сети "Интернет"</w:t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jc w:val="both"/>
        <w:ind w:firstLine="570"/>
        <w:spacing w:after="0" w:lineRule="auto" w:line="240"/>
        <w:tabs>
          <w:tab w:val="left" w:pos="8370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Применяется в режиме, не предусматривающем обязательную передачу фискальных документов в налоговые органы в электронной форме через оператора фискальных данных (да/нет)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  <w:tabs>
          <w:tab w:val="left" w:pos="340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>Применяется только при оказании услуг (в случае регистрации автоматизированной системы для бланков строгой отчетности)</w:t>
      </w:r>
      <w:r>
        <w:rPr>
          <w:rFonts w:ascii="Times New Roman" w:hAnsi="Times New Roman" w:cs="Times New Roman" w:eastAsia="Times New Roman"/>
          <w:vertAlign w:val="superscript"/>
          <w:color w:val="000000"/>
        </w:rPr>
        <w:t>1</w:t>
      </w:r>
      <w:r>
        <w:rPr>
          <w:rFonts w:ascii="Times New Roman" w:hAnsi="Times New Roman" w:cs="Times New Roman" w:eastAsia="Times New Roman"/>
          <w:color w:val="000000"/>
        </w:rPr>
        <w:t xml:space="preserve"> (да)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  <w:tabs>
          <w:tab w:val="left" w:pos="652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Используется при продаже подакцизных товаров (да/нет)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  <w:tabs>
          <w:tab w:val="left" w:pos="5100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Обработку фискальных данных осуществляет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pStyle w:val="1"/>
        <w:jc w:val="both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u w:val="single"/>
          <w:sz w:val="22"/>
        </w:rPr>
        <w:tab/>
      </w:r>
      <w:r>
        <w:rPr>
          <w:rFonts w:ascii="Times New Roman" w:hAnsi="Times New Roman" w:cs="Times New Roman" w:eastAsia="Times New Roman"/>
          <w:u w:val="single"/>
          <w:sz w:val="22"/>
        </w:rPr>
        <w:tab/>
      </w:r>
    </w:p>
    <w:p>
      <w:pPr>
        <w:pStyle w:val="1"/>
        <w:jc w:val="center"/>
        <w:tabs>
          <w:tab w:val="left" w:pos="135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>(наименование оператора фискальных данных, ИНН)</w:t>
      </w:r>
    </w:p>
    <w:p>
      <w:pPr>
        <w:jc w:val="both"/>
        <w:ind w:firstLine="570"/>
        <w:spacing w:after="0" w:lineRule="auto" w:line="240"/>
        <w:tabs>
          <w:tab w:val="left" w:pos="6660"/>
          <w:tab w:val="left" w:pos="10200"/>
        </w:tabs>
      </w:pPr>
      <w:r>
        <w:rPr>
          <w:rFonts w:ascii="Times New Roman" w:hAnsi="Times New Roman" w:cs="Times New Roman" w:eastAsia="Times New Roman"/>
          <w:color w:val="000000"/>
        </w:rPr>
        <w:t xml:space="preserve">Количество перерегистраций контрольно-кассовой техники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spacing w:after="0" w:lineRule="auto" w:line="240"/>
        <w:tabs>
          <w:tab w:val="left" w:pos="4530"/>
          <w:tab w:val="left" w:pos="10065"/>
        </w:tabs>
      </w:pPr>
      <w:r>
        <w:rPr>
          <w:rFonts w:ascii="Times New Roman" w:hAnsi="Times New Roman" w:cs="Times New Roman" w:eastAsia="Times New Roman"/>
          <w:color w:val="000000"/>
        </w:rPr>
        <w:t xml:space="preserve">Зарегистрирована в налоговом органе с </w:t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color w:val="000000"/>
        </w:rPr>
        <w:t>.</w:t>
      </w:r>
    </w:p>
    <w:p>
      <w:pPr>
        <w:jc w:val="both"/>
        <w:ind w:firstLine="6240"/>
        <w:spacing w:after="0" w:lineRule="auto" w:line="240"/>
      </w:pPr>
      <w:r>
        <w:rPr>
          <w:rFonts w:ascii="Times New Roman" w:hAnsi="Times New Roman" w:cs="Times New Roman" w:eastAsia="Times New Roman"/>
          <w:sz w:val="20"/>
          <w:color w:val="000000"/>
        </w:rPr>
        <w:t>(дата регистрации)</w:t>
      </w:r>
    </w:p>
    <w:p>
      <w:pPr>
        <w:jc w:val="both"/>
        <w:ind w:firstLine="570"/>
        <w:spacing w:after="0" w:lineRule="auto" w:line="240"/>
        <w:tabs>
          <w:tab w:val="left" w:pos="570"/>
          <w:tab w:val="left" w:pos="226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570"/>
          <w:tab w:val="left" w:pos="226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570"/>
          <w:tab w:val="left" w:pos="226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570"/>
          <w:tab w:val="left" w:pos="226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/>
      </w:r>
    </w:p>
    <w:p>
      <w:pPr>
        <w:jc w:val="both"/>
        <w:ind w:firstLine="570"/>
        <w:spacing w:after="0" w:lineRule="auto" w:line="240"/>
        <w:tabs>
          <w:tab w:val="left" w:pos="570"/>
          <w:tab w:val="left" w:pos="2265"/>
        </w:tabs>
      </w:pPr>
      <w:r>
        <w:rPr>
          <w:rFonts w:ascii="Times New Roman" w:hAnsi="Times New Roman" w:cs="Times New Roman" w:eastAsia="Times New Roman"/>
          <w:u w:val="single"/>
          <w:color w:val="000000"/>
        </w:rPr>
        <w:tab/>
      </w:r>
      <w:r>
        <w:rPr>
          <w:rFonts w:ascii="Times New Roman" w:hAnsi="Times New Roman" w:cs="Times New Roman" w:eastAsia="Times New Roman"/>
          <w:u w:val="single"/>
          <w:color w:val="000000"/>
        </w:rPr>
        <w:tab/>
      </w:r>
    </w:p>
    <w:p>
      <w:pPr>
        <w:jc w:val="both"/>
        <w:ind w:firstLine="570"/>
        <w:tabs>
          <w:tab w:val="left" w:pos="855"/>
        </w:tabs>
      </w:pPr>
      <w:r>
        <w:rPr>
          <w:rFonts w:ascii="Times New Roman" w:hAnsi="Times New Roman" w:cs="Times New Roman" w:eastAsia="Times New Roman"/>
          <w:vertAlign w:val="superscript"/>
          <w:sz w:val="18"/>
          <w:color w:val="000000"/>
        </w:rPr>
        <w:t>1</w:t>
      </w:r>
      <w:r>
        <w:rPr>
          <w:rFonts w:ascii="Times New Roman" w:hAnsi="Times New Roman" w:cs="Times New Roman" w:eastAsia="Times New Roman"/>
          <w:sz w:val="18"/>
          <w:color w:val="000000"/>
        </w:rPr>
        <w:t xml:space="preserve"> Поле заполняется в случае, если контрольно-кассовая техника применяется только при оказании услуг (в случае регистрации автоматизированной системы для бланков строгой отчетности).</w:t>
      </w:r>
    </w:p>
    <w:sectPr>
      <w:pgSz w:w="11906" w:h="16838"/>
      <w:pgMar w:top="851" w:right="567" w:bottom="1134" w:left="1134" w:header="709" w:footer="709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charset w:val="CC"/>
  </w:font>
  <w:font w:name="Times New Roman">
    <w:charset w:val="CC"/>
  </w:font>
  <w:font w:name="Courier New">
    <w:charset w:val="CC"/>
  </w:font>
</w:font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  <w:pPr>
      <w:widowControl/>
      <w:spacing w:after="165" w:lineRule="auto" w:line="256"/>
    </w:pPr>
    <w:rPr>
      <w:rFonts w:ascii="Calibri" w:hAnsi="Calibri" w:cs="Calibri" w:eastAsia="Calibri"/>
      <w:sz w:val="22"/>
    </w:rPr>
  </w:style>
  <w:style w:type="paragraph" w:styleId="1">
    <w:name w:val="ConsPlusNonformat"/>
    <w:rPr>
      <w:rFonts w:ascii="Courier New" w:hAnsi="Courier New" w:cs="Courier New" w:eastAsia="Courier New"/>
    </w:r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FT" /><Relationship Type="http://schemas.openxmlformats.org/officeDocument/2006/relationships/styles" Target="styles.xml" Id="rIdSt" /></Relationship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/>
</file>